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10D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10D Kalkschutzanlage, geeignet zum Einbau in die Kaltwasserversorgungsleitung, bei einer Gebäudegröße von bis zu 455 Wohneinheiten (max. 1.000 Personen), max. 35.000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10D wird teilmontiert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400V – Drehstrom direkt in Steuerschrank.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455</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1.000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100.000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18.500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16</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74</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14.700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12000236</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