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3000-C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3000-C Kalkschutzanlage, geeignet zum Einbau in die Kaltwasserversorgungsleitung, bei einer Gebäudegröße von bis zu einer Wohneinheit (max. 3-4 Personen), max. 160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Anlage wird montagefertig geliefert und mit einem neuen (zum Patent angemeldeten) Montagemodul für Trinkwasser und Abwasser, einfach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3-4</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450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 P+N+E</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2.500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12000276</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02162DB4-056E-4D75-AEAF-76D1C546F371}"/>
</file>

<file path=customXml/itemProps3.xml><?xml version="1.0" encoding="utf-8"?>
<ds:datastoreItem xmlns:ds="http://schemas.openxmlformats.org/officeDocument/2006/customXml" ds:itemID="{E002B83C-B2A3-4F53-9C70-A90F3A3FCB33}"/>
</file>

<file path=customXml/itemProps4.xml><?xml version="1.0" encoding="utf-8"?>
<ds:datastoreItem xmlns:ds="http://schemas.openxmlformats.org/officeDocument/2006/customXml" ds:itemID="{5CB3E33A-B590-4804-8DFC-AE856D9DF571}"/>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